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22E" w:rsidRPr="006D522E" w:rsidRDefault="006D522E" w:rsidP="006D522E">
      <w:pPr>
        <w:spacing w:after="0" w:line="276" w:lineRule="auto"/>
        <w:jc w:val="center"/>
        <w:rPr>
          <w:b/>
          <w:sz w:val="28"/>
          <w:szCs w:val="28"/>
        </w:rPr>
      </w:pPr>
      <w:r w:rsidRPr="006D522E">
        <w:rPr>
          <w:b/>
          <w:sz w:val="28"/>
          <w:szCs w:val="28"/>
        </w:rPr>
        <w:t xml:space="preserve">ATAA BOD </w:t>
      </w:r>
      <w:r w:rsidR="00B31DCA" w:rsidRPr="006D522E">
        <w:rPr>
          <w:b/>
          <w:sz w:val="28"/>
          <w:szCs w:val="28"/>
        </w:rPr>
        <w:t>Agenda</w:t>
      </w:r>
    </w:p>
    <w:p w:rsidR="003E5F8A" w:rsidRPr="006D522E" w:rsidRDefault="006D522E" w:rsidP="006D522E">
      <w:pPr>
        <w:spacing w:after="0" w:line="276" w:lineRule="auto"/>
        <w:jc w:val="center"/>
        <w:rPr>
          <w:sz w:val="24"/>
          <w:szCs w:val="24"/>
        </w:rPr>
      </w:pPr>
      <w:r w:rsidRPr="006D522E">
        <w:rPr>
          <w:sz w:val="24"/>
          <w:szCs w:val="24"/>
        </w:rPr>
        <w:t>October 23, 2017 (5:30 pm to 7:30 pm Pacific Time)</w:t>
      </w:r>
    </w:p>
    <w:p w:rsidR="00D80CA3" w:rsidRDefault="002B248B" w:rsidP="006D522E">
      <w:pPr>
        <w:spacing w:after="0" w:line="276" w:lineRule="auto"/>
        <w:rPr>
          <w:b/>
        </w:rPr>
      </w:pPr>
      <w:r>
        <w:rPr>
          <w:b/>
        </w:rPr>
        <w:t xml:space="preserve">Called to order 5:41 </w:t>
      </w:r>
    </w:p>
    <w:p w:rsidR="002B248B" w:rsidRDefault="002B248B" w:rsidP="006D522E">
      <w:pPr>
        <w:spacing w:after="0" w:line="276" w:lineRule="auto"/>
        <w:rPr>
          <w:b/>
        </w:rPr>
      </w:pPr>
      <w:r>
        <w:rPr>
          <w:b/>
        </w:rPr>
        <w:t>Roll call: Pat Johnston, Gretta Teets, Cathy Leddy, Jas Shearer-McMahon, Amrita Ibold, Tish Saare, Cindy Sither joined at 6:40</w:t>
      </w:r>
    </w:p>
    <w:p w:rsidR="002E2928" w:rsidRDefault="002E2928" w:rsidP="006D522E">
      <w:pPr>
        <w:spacing w:after="0" w:line="276" w:lineRule="auto"/>
        <w:rPr>
          <w:b/>
        </w:rPr>
      </w:pPr>
      <w:r>
        <w:rPr>
          <w:b/>
        </w:rPr>
        <w:t>Items in red are from previous BOD and General Membership Meetings.</w:t>
      </w:r>
    </w:p>
    <w:p w:rsidR="002B248B" w:rsidRPr="00D80CA3" w:rsidRDefault="002B248B" w:rsidP="006D522E">
      <w:pPr>
        <w:spacing w:after="0" w:line="276" w:lineRule="auto"/>
        <w:rPr>
          <w:b/>
        </w:rPr>
      </w:pPr>
    </w:p>
    <w:p w:rsidR="00EB4BF3" w:rsidRDefault="006D522E" w:rsidP="00D80CA3">
      <w:pPr>
        <w:pStyle w:val="ListParagraph"/>
        <w:numPr>
          <w:ilvl w:val="0"/>
          <w:numId w:val="1"/>
        </w:numPr>
        <w:spacing w:after="0" w:line="276" w:lineRule="auto"/>
      </w:pPr>
      <w:r>
        <w:t>Officers for the BOD</w:t>
      </w:r>
      <w:r w:rsidR="005E1CF1">
        <w:t xml:space="preserve">- </w:t>
      </w:r>
    </w:p>
    <w:p w:rsidR="002B248B" w:rsidRDefault="002B248B" w:rsidP="002B248B">
      <w:pPr>
        <w:pStyle w:val="ListParagraph"/>
        <w:spacing w:after="0" w:line="276" w:lineRule="auto"/>
      </w:pPr>
      <w:r>
        <w:t>New Officers:  President: Tish Saare, VP: Jas Shearer-McMahon, Treasurer: Amrita Ibold, Secretary: Cathy Leddy, Directors at Large: Pat Johnston, Gretta Teets, Cindy Sither</w:t>
      </w:r>
    </w:p>
    <w:p w:rsidR="00D80CA3" w:rsidRDefault="00D80CA3" w:rsidP="00D80CA3">
      <w:pPr>
        <w:spacing w:after="0" w:line="276" w:lineRule="auto"/>
      </w:pPr>
    </w:p>
    <w:p w:rsidR="00B31DCA" w:rsidRDefault="00B31DCA" w:rsidP="00D80CA3">
      <w:pPr>
        <w:pStyle w:val="ListParagraph"/>
        <w:numPr>
          <w:ilvl w:val="0"/>
          <w:numId w:val="1"/>
        </w:numPr>
        <w:spacing w:after="0" w:line="276" w:lineRule="auto"/>
      </w:pPr>
      <w:r>
        <w:t>Budget</w:t>
      </w:r>
      <w:r w:rsidR="005E1CF1">
        <w:t xml:space="preserve">- </w:t>
      </w:r>
      <w:r w:rsidR="002B248B">
        <w:t>table until WEG budget and other items decided.  Get done by end of January, latest.</w:t>
      </w:r>
    </w:p>
    <w:p w:rsidR="005E1CF1" w:rsidRDefault="005E1CF1" w:rsidP="005E1CF1">
      <w:pPr>
        <w:pStyle w:val="ListParagraph"/>
      </w:pPr>
    </w:p>
    <w:p w:rsidR="005E1CF1" w:rsidRPr="005E1CF1" w:rsidRDefault="005E1CF1" w:rsidP="005E1CF1">
      <w:pPr>
        <w:pStyle w:val="ListParagraph"/>
        <w:rPr>
          <w:b/>
          <w:color w:val="FF0000"/>
          <w:sz w:val="16"/>
          <w:szCs w:val="16"/>
        </w:rPr>
      </w:pPr>
      <w:r w:rsidRPr="005E1CF1">
        <w:rPr>
          <w:b/>
          <w:color w:val="FF0000"/>
          <w:sz w:val="16"/>
          <w:szCs w:val="16"/>
        </w:rPr>
        <w:t>2017 Budget</w:t>
      </w:r>
    </w:p>
    <w:tbl>
      <w:tblPr>
        <w:tblW w:w="7840" w:type="dxa"/>
        <w:tblInd w:w="108" w:type="dxa"/>
        <w:tblLook w:val="04A0" w:firstRow="1" w:lastRow="0" w:firstColumn="1" w:lastColumn="0" w:noHBand="0" w:noVBand="1"/>
      </w:tblPr>
      <w:tblGrid>
        <w:gridCol w:w="3200"/>
        <w:gridCol w:w="2160"/>
        <w:gridCol w:w="2480"/>
      </w:tblGrid>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b/>
                <w:bCs/>
                <w:color w:val="FF0000"/>
                <w:sz w:val="16"/>
                <w:szCs w:val="16"/>
              </w:rPr>
            </w:pPr>
            <w:r w:rsidRPr="005E1CF1">
              <w:rPr>
                <w:rFonts w:ascii="Calibri" w:hAnsi="Calibri" w:cs="Calibri"/>
                <w:b/>
                <w:bCs/>
                <w:color w:val="FF0000"/>
                <w:sz w:val="16"/>
                <w:szCs w:val="16"/>
              </w:rPr>
              <w:t>Expense</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b/>
                <w:bCs/>
                <w:color w:val="FF0000"/>
                <w:sz w:val="16"/>
                <w:szCs w:val="16"/>
              </w:rPr>
            </w:pPr>
            <w:r w:rsidRPr="005E1CF1">
              <w:rPr>
                <w:rFonts w:ascii="Calibri" w:hAnsi="Calibri" w:cs="Calibri"/>
                <w:b/>
                <w:bCs/>
                <w:color w:val="FF0000"/>
                <w:sz w:val="16"/>
                <w:szCs w:val="16"/>
              </w:rPr>
              <w:t>2016 actual expense</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b/>
                <w:bCs/>
                <w:color w:val="FF0000"/>
                <w:sz w:val="16"/>
                <w:szCs w:val="16"/>
              </w:rPr>
            </w:pPr>
            <w:r w:rsidRPr="005E1CF1">
              <w:rPr>
                <w:rFonts w:ascii="Calibri" w:hAnsi="Calibri" w:cs="Calibri"/>
                <w:b/>
                <w:bCs/>
                <w:color w:val="FF0000"/>
                <w:sz w:val="16"/>
                <w:szCs w:val="16"/>
              </w:rPr>
              <w:t>Proposed 2017 expense</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color w:val="FF0000"/>
                <w:sz w:val="16"/>
                <w:szCs w:val="16"/>
              </w:rPr>
            </w:pPr>
            <w:r w:rsidRPr="005E1CF1">
              <w:rPr>
                <w:rFonts w:ascii="Calibri" w:hAnsi="Calibri" w:cs="Calibri"/>
                <w:color w:val="FF0000"/>
                <w:sz w:val="16"/>
                <w:szCs w:val="16"/>
              </w:rPr>
              <w:t>Insurance</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$661.00</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$661.00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color w:val="FF0000"/>
                <w:sz w:val="16"/>
                <w:szCs w:val="16"/>
              </w:rPr>
            </w:pPr>
            <w:r w:rsidRPr="005E1CF1">
              <w:rPr>
                <w:rFonts w:ascii="Calibri" w:hAnsi="Calibri" w:cs="Calibri"/>
                <w:color w:val="FF0000"/>
                <w:sz w:val="16"/>
                <w:szCs w:val="16"/>
              </w:rPr>
              <w:t>Website</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$71.80</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$72.00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color w:val="FF0000"/>
                <w:sz w:val="16"/>
                <w:szCs w:val="16"/>
              </w:rPr>
            </w:pPr>
            <w:r w:rsidRPr="005E1CF1">
              <w:rPr>
                <w:rFonts w:ascii="Calibri" w:hAnsi="Calibri" w:cs="Calibri"/>
                <w:color w:val="FF0000"/>
                <w:sz w:val="16"/>
                <w:szCs w:val="16"/>
              </w:rPr>
              <w:t>Professional Services</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$49.00</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$50.00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color w:val="FF0000"/>
                <w:sz w:val="16"/>
                <w:szCs w:val="16"/>
              </w:rPr>
            </w:pPr>
            <w:r w:rsidRPr="005E1CF1">
              <w:rPr>
                <w:rFonts w:ascii="Calibri" w:hAnsi="Calibri" w:cs="Calibri"/>
                <w:color w:val="FF0000"/>
                <w:sz w:val="16"/>
                <w:szCs w:val="16"/>
              </w:rPr>
              <w:t>Printing/Mailing/Supplies</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$1,030.28</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$800.00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color w:val="FF0000"/>
                <w:sz w:val="16"/>
                <w:szCs w:val="16"/>
              </w:rPr>
            </w:pPr>
            <w:r w:rsidRPr="005E1CF1">
              <w:rPr>
                <w:rFonts w:ascii="Calibri" w:hAnsi="Calibri" w:cs="Calibri"/>
                <w:color w:val="FF0000"/>
                <w:sz w:val="16"/>
                <w:szCs w:val="16"/>
              </w:rPr>
              <w:t>Awards</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$1,040.61</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Member awards</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$250.00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Incentive fund</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$2,000.00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color w:val="FF0000"/>
                <w:sz w:val="16"/>
                <w:szCs w:val="16"/>
              </w:rPr>
            </w:pPr>
            <w:r w:rsidRPr="005E1CF1">
              <w:rPr>
                <w:rFonts w:ascii="Calibri" w:hAnsi="Calibri" w:cs="Calibri"/>
                <w:color w:val="FF0000"/>
                <w:sz w:val="16"/>
                <w:szCs w:val="16"/>
              </w:rPr>
              <w:t>Advertising</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color w:val="FF0000"/>
                <w:sz w:val="16"/>
                <w:szCs w:val="16"/>
              </w:rPr>
            </w:pPr>
          </w:p>
        </w:tc>
        <w:tc>
          <w:tcPr>
            <w:tcW w:w="2480" w:type="dxa"/>
            <w:tcBorders>
              <w:top w:val="nil"/>
              <w:left w:val="nil"/>
              <w:bottom w:val="nil"/>
              <w:right w:val="nil"/>
            </w:tcBorders>
            <w:shd w:val="clear" w:color="auto" w:fill="auto"/>
            <w:noWrap/>
            <w:vAlign w:val="bottom"/>
            <w:hideMark/>
          </w:tcPr>
          <w:p w:rsidR="005E1CF1" w:rsidRPr="005E1CF1" w:rsidRDefault="005E1CF1" w:rsidP="008F3DD2">
            <w:pPr>
              <w:rPr>
                <w:rFonts w:ascii="Times New Roman" w:hAnsi="Times New Roman"/>
                <w:color w:val="FF0000"/>
                <w:sz w:val="16"/>
                <w:szCs w:val="16"/>
              </w:rPr>
            </w:pP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Rare Breeds Show</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$3,523.75</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$0.00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DAD</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$500.00</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$500.00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Livestock Conservancy Ad</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$75.00</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$75.00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Other print adds</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$0.00</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$500.00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Promotions</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$0.00</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$500.00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color w:val="FF0000"/>
                <w:sz w:val="16"/>
                <w:szCs w:val="16"/>
              </w:rPr>
            </w:pPr>
            <w:r w:rsidRPr="005E1CF1">
              <w:rPr>
                <w:rFonts w:ascii="Calibri" w:hAnsi="Calibri" w:cs="Calibri"/>
                <w:color w:val="FF0000"/>
                <w:sz w:val="16"/>
                <w:szCs w:val="16"/>
              </w:rPr>
              <w:t>Conference/show/judges</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$2,899.31</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$1,500.00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color w:val="FF0000"/>
                <w:sz w:val="16"/>
                <w:szCs w:val="16"/>
              </w:rPr>
            </w:pPr>
            <w:r w:rsidRPr="005E1CF1">
              <w:rPr>
                <w:rFonts w:ascii="Calibri" w:hAnsi="Calibri" w:cs="Calibri"/>
                <w:color w:val="FF0000"/>
                <w:sz w:val="16"/>
                <w:szCs w:val="16"/>
              </w:rPr>
              <w:t>DNA/NFS</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$0.00</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$1,000.00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b/>
                <w:bCs/>
                <w:color w:val="FF0000"/>
                <w:sz w:val="16"/>
                <w:szCs w:val="16"/>
              </w:rPr>
            </w:pPr>
            <w:r w:rsidRPr="005E1CF1">
              <w:rPr>
                <w:rFonts w:ascii="Calibri" w:hAnsi="Calibri" w:cs="Calibri"/>
                <w:b/>
                <w:bCs/>
                <w:color w:val="FF0000"/>
                <w:sz w:val="16"/>
                <w:szCs w:val="16"/>
              </w:rPr>
              <w:t>Total</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b/>
                <w:bCs/>
                <w:color w:val="FF0000"/>
                <w:sz w:val="16"/>
                <w:szCs w:val="16"/>
              </w:rPr>
            </w:pPr>
            <w:r w:rsidRPr="005E1CF1">
              <w:rPr>
                <w:rFonts w:ascii="Calibri" w:hAnsi="Calibri" w:cs="Calibri"/>
                <w:b/>
                <w:bCs/>
                <w:color w:val="FF0000"/>
                <w:sz w:val="16"/>
                <w:szCs w:val="16"/>
              </w:rPr>
              <w:t>$9,850.75</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b/>
                <w:bCs/>
                <w:color w:val="FF0000"/>
                <w:sz w:val="16"/>
                <w:szCs w:val="16"/>
              </w:rPr>
            </w:pPr>
            <w:r w:rsidRPr="005E1CF1">
              <w:rPr>
                <w:rFonts w:ascii="Calibri" w:hAnsi="Calibri" w:cs="Calibri"/>
                <w:b/>
                <w:bCs/>
                <w:color w:val="FF0000"/>
                <w:sz w:val="16"/>
                <w:szCs w:val="16"/>
              </w:rPr>
              <w:t>$7,908.00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b/>
                <w:bCs/>
                <w:color w:val="FF0000"/>
                <w:sz w:val="16"/>
                <w:szCs w:val="16"/>
              </w:rPr>
            </w:pPr>
          </w:p>
        </w:tc>
        <w:tc>
          <w:tcPr>
            <w:tcW w:w="2160" w:type="dxa"/>
            <w:tcBorders>
              <w:top w:val="nil"/>
              <w:left w:val="nil"/>
              <w:bottom w:val="nil"/>
              <w:right w:val="nil"/>
            </w:tcBorders>
            <w:shd w:val="clear" w:color="auto" w:fill="auto"/>
            <w:noWrap/>
            <w:vAlign w:val="bottom"/>
            <w:hideMark/>
          </w:tcPr>
          <w:p w:rsidR="005E1CF1" w:rsidRPr="005E1CF1" w:rsidRDefault="005E1CF1" w:rsidP="008F3DD2">
            <w:pPr>
              <w:rPr>
                <w:rFonts w:ascii="Times New Roman" w:hAnsi="Times New Roman"/>
                <w:color w:val="FF0000"/>
                <w:sz w:val="16"/>
                <w:szCs w:val="16"/>
              </w:rPr>
            </w:pPr>
          </w:p>
        </w:tc>
        <w:tc>
          <w:tcPr>
            <w:tcW w:w="2480" w:type="dxa"/>
            <w:tcBorders>
              <w:top w:val="nil"/>
              <w:left w:val="nil"/>
              <w:bottom w:val="nil"/>
              <w:right w:val="nil"/>
            </w:tcBorders>
            <w:shd w:val="clear" w:color="auto" w:fill="auto"/>
            <w:noWrap/>
            <w:vAlign w:val="bottom"/>
            <w:hideMark/>
          </w:tcPr>
          <w:p w:rsidR="005E1CF1" w:rsidRPr="005E1CF1" w:rsidRDefault="005E1CF1" w:rsidP="008F3DD2">
            <w:pPr>
              <w:rPr>
                <w:rFonts w:ascii="Times New Roman" w:hAnsi="Times New Roman"/>
                <w:color w:val="FF0000"/>
                <w:sz w:val="16"/>
                <w:szCs w:val="16"/>
              </w:rPr>
            </w:pP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Times New Roman" w:hAnsi="Times New Roman"/>
                <w:color w:val="FF0000"/>
                <w:sz w:val="16"/>
                <w:szCs w:val="16"/>
              </w:rPr>
            </w:pPr>
          </w:p>
        </w:tc>
        <w:tc>
          <w:tcPr>
            <w:tcW w:w="2160" w:type="dxa"/>
            <w:tcBorders>
              <w:top w:val="nil"/>
              <w:left w:val="nil"/>
              <w:bottom w:val="nil"/>
              <w:right w:val="nil"/>
            </w:tcBorders>
            <w:shd w:val="clear" w:color="auto" w:fill="auto"/>
            <w:noWrap/>
            <w:vAlign w:val="bottom"/>
            <w:hideMark/>
          </w:tcPr>
          <w:p w:rsidR="005E1CF1" w:rsidRPr="005E1CF1" w:rsidRDefault="005E1CF1" w:rsidP="008F3DD2">
            <w:pPr>
              <w:rPr>
                <w:rFonts w:ascii="Times New Roman" w:hAnsi="Times New Roman"/>
                <w:color w:val="FF0000"/>
                <w:sz w:val="16"/>
                <w:szCs w:val="16"/>
              </w:rPr>
            </w:pPr>
          </w:p>
        </w:tc>
        <w:tc>
          <w:tcPr>
            <w:tcW w:w="2480" w:type="dxa"/>
            <w:tcBorders>
              <w:top w:val="nil"/>
              <w:left w:val="nil"/>
              <w:bottom w:val="nil"/>
              <w:right w:val="nil"/>
            </w:tcBorders>
            <w:shd w:val="clear" w:color="auto" w:fill="auto"/>
            <w:noWrap/>
            <w:vAlign w:val="bottom"/>
            <w:hideMark/>
          </w:tcPr>
          <w:p w:rsidR="005E1CF1" w:rsidRPr="005E1CF1" w:rsidRDefault="005E1CF1" w:rsidP="008F3DD2">
            <w:pPr>
              <w:rPr>
                <w:rFonts w:ascii="Times New Roman" w:hAnsi="Times New Roman"/>
                <w:color w:val="FF0000"/>
                <w:sz w:val="16"/>
                <w:szCs w:val="16"/>
              </w:rPr>
            </w:pP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b/>
                <w:bCs/>
                <w:color w:val="FF0000"/>
                <w:sz w:val="16"/>
                <w:szCs w:val="16"/>
              </w:rPr>
            </w:pPr>
            <w:r w:rsidRPr="005E1CF1">
              <w:rPr>
                <w:rFonts w:ascii="Calibri" w:hAnsi="Calibri" w:cs="Calibri"/>
                <w:b/>
                <w:bCs/>
                <w:color w:val="FF0000"/>
                <w:sz w:val="16"/>
                <w:szCs w:val="16"/>
              </w:rPr>
              <w:t>Income</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b/>
                <w:bCs/>
                <w:color w:val="FF0000"/>
                <w:sz w:val="16"/>
                <w:szCs w:val="16"/>
              </w:rPr>
            </w:pPr>
            <w:r w:rsidRPr="005E1CF1">
              <w:rPr>
                <w:rFonts w:ascii="Calibri" w:hAnsi="Calibri" w:cs="Calibri"/>
                <w:b/>
                <w:bCs/>
                <w:color w:val="FF0000"/>
                <w:sz w:val="16"/>
                <w:szCs w:val="16"/>
              </w:rPr>
              <w:t>2016 actual income</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b/>
                <w:bCs/>
                <w:color w:val="FF0000"/>
                <w:sz w:val="16"/>
                <w:szCs w:val="16"/>
              </w:rPr>
            </w:pPr>
            <w:r w:rsidRPr="005E1CF1">
              <w:rPr>
                <w:rFonts w:ascii="Calibri" w:hAnsi="Calibri" w:cs="Calibri"/>
                <w:b/>
                <w:bCs/>
                <w:color w:val="FF0000"/>
                <w:sz w:val="16"/>
                <w:szCs w:val="16"/>
              </w:rPr>
              <w:t>2017 projected income</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color w:val="FF0000"/>
                <w:sz w:val="16"/>
                <w:szCs w:val="16"/>
              </w:rPr>
            </w:pPr>
            <w:r w:rsidRPr="005E1CF1">
              <w:rPr>
                <w:rFonts w:ascii="Calibri" w:hAnsi="Calibri" w:cs="Calibri"/>
                <w:color w:val="FF0000"/>
                <w:sz w:val="16"/>
                <w:szCs w:val="16"/>
              </w:rPr>
              <w:t>Membership</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$3,228.96</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$3,500.00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color w:val="FF0000"/>
                <w:sz w:val="16"/>
                <w:szCs w:val="16"/>
              </w:rPr>
            </w:pPr>
            <w:r w:rsidRPr="005E1CF1">
              <w:rPr>
                <w:rFonts w:ascii="Calibri" w:hAnsi="Calibri" w:cs="Calibri"/>
                <w:color w:val="FF0000"/>
                <w:sz w:val="16"/>
                <w:szCs w:val="16"/>
              </w:rPr>
              <w:t>Registration</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$1,572.05</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$1,000.00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color w:val="FF0000"/>
                <w:sz w:val="16"/>
                <w:szCs w:val="16"/>
              </w:rPr>
            </w:pPr>
            <w:r w:rsidRPr="005E1CF1">
              <w:rPr>
                <w:rFonts w:ascii="Calibri" w:hAnsi="Calibri" w:cs="Calibri"/>
                <w:color w:val="FF0000"/>
                <w:sz w:val="16"/>
                <w:szCs w:val="16"/>
              </w:rPr>
              <w:t>Conference</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$179.80</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$1,000.00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color w:val="FF0000"/>
                <w:sz w:val="16"/>
                <w:szCs w:val="16"/>
              </w:rPr>
            </w:pPr>
            <w:r w:rsidRPr="005E1CF1">
              <w:rPr>
                <w:rFonts w:ascii="Calibri" w:hAnsi="Calibri" w:cs="Calibri"/>
                <w:color w:val="FF0000"/>
                <w:sz w:val="16"/>
                <w:szCs w:val="16"/>
              </w:rPr>
              <w:lastRenderedPageBreak/>
              <w:t>Donations</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$6,006.96</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$500.00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color w:val="FF0000"/>
                <w:sz w:val="16"/>
                <w:szCs w:val="16"/>
              </w:rPr>
            </w:pPr>
            <w:r w:rsidRPr="005E1CF1">
              <w:rPr>
                <w:rFonts w:ascii="Calibri" w:hAnsi="Calibri" w:cs="Calibri"/>
                <w:color w:val="FF0000"/>
                <w:sz w:val="16"/>
                <w:szCs w:val="16"/>
              </w:rPr>
              <w:t>Logowear/Painting Pony</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$18.00</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$200.00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color w:val="FF0000"/>
                <w:sz w:val="16"/>
                <w:szCs w:val="16"/>
              </w:rPr>
            </w:pPr>
            <w:r w:rsidRPr="005E1CF1">
              <w:rPr>
                <w:rFonts w:ascii="Calibri" w:hAnsi="Calibri" w:cs="Calibri"/>
                <w:color w:val="FF0000"/>
                <w:sz w:val="16"/>
                <w:szCs w:val="16"/>
              </w:rPr>
              <w:t>Transfer from Savings</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color w:val="FF0000"/>
                <w:sz w:val="16"/>
                <w:szCs w:val="16"/>
              </w:rPr>
            </w:pP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$1,000.00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color w:val="FF0000"/>
                <w:sz w:val="16"/>
                <w:szCs w:val="16"/>
              </w:rPr>
            </w:pPr>
            <w:r w:rsidRPr="005E1CF1">
              <w:rPr>
                <w:rFonts w:ascii="Calibri" w:hAnsi="Calibri" w:cs="Calibri"/>
                <w:color w:val="FF0000"/>
                <w:sz w:val="16"/>
                <w:szCs w:val="16"/>
              </w:rPr>
              <w:t>Rollover from 2016</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color w:val="FF0000"/>
                <w:sz w:val="16"/>
                <w:szCs w:val="16"/>
              </w:rPr>
            </w:pP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$905.00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color w:val="FF0000"/>
                <w:sz w:val="16"/>
                <w:szCs w:val="16"/>
              </w:rPr>
            </w:pPr>
            <w:r w:rsidRPr="005E1CF1">
              <w:rPr>
                <w:rFonts w:ascii="Calibri" w:hAnsi="Calibri" w:cs="Calibri"/>
                <w:color w:val="FF0000"/>
                <w:sz w:val="16"/>
                <w:szCs w:val="16"/>
              </w:rPr>
              <w:t>Silent Auction</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color w:val="FF0000"/>
                <w:sz w:val="16"/>
                <w:szCs w:val="16"/>
              </w:rPr>
            </w:pP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color w:val="FF0000"/>
                <w:sz w:val="16"/>
                <w:szCs w:val="16"/>
              </w:rPr>
            </w:pPr>
            <w:r w:rsidRPr="005E1CF1">
              <w:rPr>
                <w:rFonts w:ascii="Calibri" w:hAnsi="Calibri" w:cs="Calibri"/>
                <w:color w:val="FF0000"/>
                <w:sz w:val="16"/>
                <w:szCs w:val="16"/>
              </w:rPr>
              <w:t>$400.00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b/>
                <w:bCs/>
                <w:color w:val="FF0000"/>
                <w:sz w:val="16"/>
                <w:szCs w:val="16"/>
              </w:rPr>
            </w:pPr>
            <w:r w:rsidRPr="005E1CF1">
              <w:rPr>
                <w:rFonts w:ascii="Calibri" w:hAnsi="Calibri" w:cs="Calibri"/>
                <w:b/>
                <w:bCs/>
                <w:color w:val="FF0000"/>
                <w:sz w:val="16"/>
                <w:szCs w:val="16"/>
              </w:rPr>
              <w:t>Total</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b/>
                <w:bCs/>
                <w:color w:val="FF0000"/>
                <w:sz w:val="16"/>
                <w:szCs w:val="16"/>
              </w:rPr>
            </w:pPr>
            <w:r w:rsidRPr="005E1CF1">
              <w:rPr>
                <w:rFonts w:ascii="Calibri" w:hAnsi="Calibri" w:cs="Calibri"/>
                <w:b/>
                <w:bCs/>
                <w:color w:val="FF0000"/>
                <w:sz w:val="16"/>
                <w:szCs w:val="16"/>
              </w:rPr>
              <w:t>$11,005.77</w:t>
            </w: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b/>
                <w:bCs/>
                <w:color w:val="FF0000"/>
                <w:sz w:val="16"/>
                <w:szCs w:val="16"/>
              </w:rPr>
            </w:pPr>
            <w:r w:rsidRPr="005E1CF1">
              <w:rPr>
                <w:rFonts w:ascii="Calibri" w:hAnsi="Calibri" w:cs="Calibri"/>
                <w:b/>
                <w:bCs/>
                <w:color w:val="FF0000"/>
                <w:sz w:val="16"/>
                <w:szCs w:val="16"/>
              </w:rPr>
              <w:t>$8,505.00</w:t>
            </w: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b/>
                <w:bCs/>
                <w:color w:val="FF0000"/>
                <w:sz w:val="16"/>
                <w:szCs w:val="16"/>
              </w:rPr>
            </w:pPr>
          </w:p>
        </w:tc>
        <w:tc>
          <w:tcPr>
            <w:tcW w:w="2160" w:type="dxa"/>
            <w:tcBorders>
              <w:top w:val="nil"/>
              <w:left w:val="nil"/>
              <w:bottom w:val="nil"/>
              <w:right w:val="nil"/>
            </w:tcBorders>
            <w:shd w:val="clear" w:color="auto" w:fill="auto"/>
            <w:noWrap/>
            <w:vAlign w:val="bottom"/>
            <w:hideMark/>
          </w:tcPr>
          <w:p w:rsidR="005E1CF1" w:rsidRPr="005E1CF1" w:rsidRDefault="005E1CF1" w:rsidP="008F3DD2">
            <w:pPr>
              <w:rPr>
                <w:rFonts w:ascii="Times New Roman" w:hAnsi="Times New Roman"/>
                <w:color w:val="FF0000"/>
                <w:sz w:val="16"/>
                <w:szCs w:val="16"/>
              </w:rPr>
            </w:pPr>
          </w:p>
        </w:tc>
        <w:tc>
          <w:tcPr>
            <w:tcW w:w="2480" w:type="dxa"/>
            <w:tcBorders>
              <w:top w:val="nil"/>
              <w:left w:val="nil"/>
              <w:bottom w:val="nil"/>
              <w:right w:val="nil"/>
            </w:tcBorders>
            <w:shd w:val="clear" w:color="auto" w:fill="auto"/>
            <w:noWrap/>
            <w:vAlign w:val="bottom"/>
            <w:hideMark/>
          </w:tcPr>
          <w:p w:rsidR="005E1CF1" w:rsidRPr="005E1CF1" w:rsidRDefault="005E1CF1" w:rsidP="008F3DD2">
            <w:pPr>
              <w:rPr>
                <w:rFonts w:ascii="Times New Roman" w:hAnsi="Times New Roman"/>
                <w:color w:val="FF0000"/>
                <w:sz w:val="16"/>
                <w:szCs w:val="16"/>
              </w:rPr>
            </w:pPr>
          </w:p>
        </w:tc>
      </w:tr>
      <w:tr w:rsidR="005E1CF1" w:rsidRPr="005E1CF1" w:rsidTr="008F3DD2">
        <w:trPr>
          <w:trHeight w:val="300"/>
        </w:trPr>
        <w:tc>
          <w:tcPr>
            <w:tcW w:w="320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b/>
                <w:bCs/>
                <w:color w:val="FF0000"/>
                <w:sz w:val="16"/>
                <w:szCs w:val="16"/>
              </w:rPr>
            </w:pPr>
            <w:r w:rsidRPr="005E1CF1">
              <w:rPr>
                <w:rFonts w:ascii="Calibri" w:hAnsi="Calibri" w:cs="Calibri"/>
                <w:b/>
                <w:bCs/>
                <w:color w:val="FF0000"/>
                <w:sz w:val="16"/>
                <w:szCs w:val="16"/>
              </w:rPr>
              <w:t>Difference</w:t>
            </w:r>
          </w:p>
        </w:tc>
        <w:tc>
          <w:tcPr>
            <w:tcW w:w="2160" w:type="dxa"/>
            <w:tcBorders>
              <w:top w:val="nil"/>
              <w:left w:val="nil"/>
              <w:bottom w:val="nil"/>
              <w:right w:val="nil"/>
            </w:tcBorders>
            <w:shd w:val="clear" w:color="auto" w:fill="auto"/>
            <w:noWrap/>
            <w:vAlign w:val="bottom"/>
            <w:hideMark/>
          </w:tcPr>
          <w:p w:rsidR="005E1CF1" w:rsidRPr="005E1CF1" w:rsidRDefault="005E1CF1" w:rsidP="008F3DD2">
            <w:pPr>
              <w:rPr>
                <w:rFonts w:ascii="Calibri" w:hAnsi="Calibri" w:cs="Calibri"/>
                <w:b/>
                <w:bCs/>
                <w:color w:val="FF0000"/>
                <w:sz w:val="16"/>
                <w:szCs w:val="16"/>
              </w:rPr>
            </w:pPr>
          </w:p>
        </w:tc>
        <w:tc>
          <w:tcPr>
            <w:tcW w:w="2480" w:type="dxa"/>
            <w:tcBorders>
              <w:top w:val="nil"/>
              <w:left w:val="nil"/>
              <w:bottom w:val="nil"/>
              <w:right w:val="nil"/>
            </w:tcBorders>
            <w:shd w:val="clear" w:color="auto" w:fill="auto"/>
            <w:noWrap/>
            <w:vAlign w:val="bottom"/>
            <w:hideMark/>
          </w:tcPr>
          <w:p w:rsidR="005E1CF1" w:rsidRPr="005E1CF1" w:rsidRDefault="005E1CF1" w:rsidP="008F3DD2">
            <w:pPr>
              <w:jc w:val="right"/>
              <w:rPr>
                <w:rFonts w:ascii="Calibri" w:hAnsi="Calibri" w:cs="Calibri"/>
                <w:b/>
                <w:bCs/>
                <w:color w:val="FF0000"/>
                <w:sz w:val="16"/>
                <w:szCs w:val="16"/>
              </w:rPr>
            </w:pPr>
            <w:r w:rsidRPr="005E1CF1">
              <w:rPr>
                <w:rFonts w:ascii="Calibri" w:hAnsi="Calibri" w:cs="Calibri"/>
                <w:b/>
                <w:bCs/>
                <w:color w:val="FF0000"/>
                <w:sz w:val="16"/>
                <w:szCs w:val="16"/>
              </w:rPr>
              <w:t>$597.00</w:t>
            </w:r>
          </w:p>
        </w:tc>
      </w:tr>
    </w:tbl>
    <w:p w:rsidR="005E1CF1" w:rsidRDefault="005E1CF1" w:rsidP="005E1CF1">
      <w:pPr>
        <w:pStyle w:val="ListParagraph"/>
        <w:spacing w:after="0" w:line="276" w:lineRule="auto"/>
        <w:ind w:left="1440"/>
      </w:pPr>
    </w:p>
    <w:p w:rsidR="00D80CA3" w:rsidRDefault="00D80CA3" w:rsidP="00D80CA3">
      <w:pPr>
        <w:spacing w:after="0" w:line="276" w:lineRule="auto"/>
      </w:pPr>
    </w:p>
    <w:p w:rsidR="00B31DCA" w:rsidRDefault="00B31DCA" w:rsidP="00D80CA3">
      <w:pPr>
        <w:pStyle w:val="ListParagraph"/>
        <w:numPr>
          <w:ilvl w:val="0"/>
          <w:numId w:val="1"/>
        </w:numPr>
        <w:spacing w:after="0" w:line="276" w:lineRule="auto"/>
      </w:pPr>
      <w:r>
        <w:t xml:space="preserve">BOD meeting </w:t>
      </w:r>
      <w:r w:rsidR="006D522E">
        <w:t>frequency</w:t>
      </w:r>
      <w:r w:rsidR="005E1CF1">
        <w:t xml:space="preserve"> – </w:t>
      </w:r>
      <w:r w:rsidR="002B248B">
        <w:t>Decision to try quarterly conference calls, Jan, April, July, October.  Others if needed.  We need to commit to target dates for items.</w:t>
      </w:r>
    </w:p>
    <w:p w:rsidR="00D80CA3" w:rsidRDefault="00D80CA3" w:rsidP="00D80CA3">
      <w:pPr>
        <w:spacing w:after="0" w:line="276" w:lineRule="auto"/>
      </w:pPr>
    </w:p>
    <w:p w:rsidR="00B31DCA" w:rsidRDefault="00033918" w:rsidP="00D80CA3">
      <w:pPr>
        <w:pStyle w:val="ListParagraph"/>
        <w:numPr>
          <w:ilvl w:val="0"/>
          <w:numId w:val="1"/>
        </w:numPr>
        <w:spacing w:after="0" w:line="276" w:lineRule="auto"/>
      </w:pPr>
      <w:r>
        <w:t xml:space="preserve">Deadline for horse registrations that haven’t been </w:t>
      </w:r>
      <w:proofErr w:type="gramStart"/>
      <w:r>
        <w:t>finished?</w:t>
      </w:r>
      <w:r w:rsidR="005E1CF1">
        <w:t>-</w:t>
      </w:r>
      <w:proofErr w:type="gramEnd"/>
      <w:r w:rsidR="005E1CF1">
        <w:t xml:space="preserve"> voted at membership meeting: </w:t>
      </w:r>
    </w:p>
    <w:p w:rsidR="005E1CF1" w:rsidRDefault="005E1CF1" w:rsidP="005E1CF1">
      <w:pPr>
        <w:pStyle w:val="ListParagraph"/>
      </w:pPr>
    </w:p>
    <w:p w:rsidR="005E1CF1" w:rsidRDefault="002B248B" w:rsidP="005E1CF1">
      <w:pPr>
        <w:pStyle w:val="ListParagraph"/>
        <w:rPr>
          <w:b/>
          <w:color w:val="FF0000"/>
        </w:rPr>
      </w:pPr>
      <w:bookmarkStart w:id="0" w:name="_Hlk495065979"/>
      <w:r>
        <w:rPr>
          <w:b/>
          <w:color w:val="FF0000"/>
        </w:rPr>
        <w:t xml:space="preserve">GMM </w:t>
      </w:r>
      <w:r w:rsidR="005E1CF1" w:rsidRPr="005E1CF1">
        <w:rPr>
          <w:b/>
          <w:color w:val="FF0000"/>
        </w:rPr>
        <w:t>MOTION: Amrita motions that</w:t>
      </w:r>
      <w:r>
        <w:rPr>
          <w:b/>
          <w:color w:val="FF0000"/>
        </w:rPr>
        <w:t xml:space="preserve"> horse</w:t>
      </w:r>
      <w:r w:rsidR="005E1CF1" w:rsidRPr="005E1CF1">
        <w:rPr>
          <w:b/>
          <w:color w:val="FF0000"/>
        </w:rPr>
        <w:t xml:space="preserve"> registrations are valid for 1 </w:t>
      </w:r>
      <w:r>
        <w:rPr>
          <w:b/>
          <w:color w:val="FF0000"/>
        </w:rPr>
        <w:t>year after date of payment, starting in 2018.</w:t>
      </w:r>
      <w:r w:rsidR="005E1CF1" w:rsidRPr="005E1CF1">
        <w:rPr>
          <w:b/>
          <w:color w:val="FF0000"/>
        </w:rPr>
        <w:t xml:space="preserve">  After that one year is up, if registration is not completed, owner will need to also pay older horse registration fee in addition to fee already paid to finish registration.  Katrina seconds.  Approved.</w:t>
      </w:r>
    </w:p>
    <w:p w:rsidR="002B248B" w:rsidRDefault="002B248B" w:rsidP="005E1CF1">
      <w:pPr>
        <w:pStyle w:val="ListParagraph"/>
      </w:pPr>
      <w:r w:rsidRPr="002B248B">
        <w:t>Board discussion:  Will this be for every horse?</w:t>
      </w:r>
      <w:r>
        <w:t xml:space="preserve"> Will need to let people know.</w:t>
      </w:r>
    </w:p>
    <w:p w:rsidR="002E2928" w:rsidRPr="002B248B" w:rsidRDefault="002E2928" w:rsidP="005E1CF1">
      <w:pPr>
        <w:pStyle w:val="ListParagraph"/>
      </w:pPr>
    </w:p>
    <w:bookmarkEnd w:id="0"/>
    <w:p w:rsidR="00033918" w:rsidRDefault="00033918" w:rsidP="00D80CA3">
      <w:pPr>
        <w:pStyle w:val="ListParagraph"/>
        <w:numPr>
          <w:ilvl w:val="0"/>
          <w:numId w:val="1"/>
        </w:numPr>
        <w:spacing w:after="0" w:line="276" w:lineRule="auto"/>
      </w:pPr>
      <w:r>
        <w:t xml:space="preserve">ATAA </w:t>
      </w:r>
      <w:r w:rsidR="006D522E">
        <w:t>Trademark/</w:t>
      </w:r>
      <w:r>
        <w:t>Brand</w:t>
      </w:r>
      <w:r w:rsidR="005E1CF1">
        <w:t xml:space="preserve">: </w:t>
      </w:r>
    </w:p>
    <w:p w:rsidR="005E1CF1" w:rsidRDefault="005E1CF1" w:rsidP="005E1CF1">
      <w:pPr>
        <w:pStyle w:val="ListParagraph"/>
        <w:numPr>
          <w:ilvl w:val="1"/>
          <w:numId w:val="1"/>
        </w:numPr>
        <w:spacing w:after="0" w:line="276" w:lineRule="auto"/>
      </w:pPr>
      <w:r>
        <w:t>Trademark:  Our ATAA logo and wordmark is up for renewal this year.  Discussion of why we trademarked it to begin with.  Members were unanimously in favor of the decision to renew our trademark and wordmark.  OK using the AT from our logo as our ‘official’ brand.  No one will be required to brand their horse, but may if they want.</w:t>
      </w:r>
    </w:p>
    <w:p w:rsidR="005E1CF1" w:rsidRDefault="005E1CF1" w:rsidP="005E1CF1">
      <w:pPr>
        <w:pStyle w:val="ListParagraph"/>
        <w:numPr>
          <w:ilvl w:val="1"/>
          <w:numId w:val="1"/>
        </w:numPr>
        <w:spacing w:after="0" w:line="276" w:lineRule="auto"/>
      </w:pPr>
      <w:r>
        <w:t xml:space="preserve">Vote from BOD, per conference call in September. </w:t>
      </w:r>
    </w:p>
    <w:p w:rsidR="005E1CF1" w:rsidRDefault="002B248B" w:rsidP="002B248B">
      <w:pPr>
        <w:pStyle w:val="ListParagraph"/>
        <w:rPr>
          <w:color w:val="FF0000"/>
        </w:rPr>
      </w:pPr>
      <w:r>
        <w:rPr>
          <w:color w:val="FF0000"/>
        </w:rPr>
        <w:t xml:space="preserve">GMM; </w:t>
      </w:r>
      <w:r w:rsidR="005E1CF1" w:rsidRPr="005E1CF1">
        <w:rPr>
          <w:color w:val="FF0000"/>
        </w:rPr>
        <w:t>Trademark/Wordmark:  BOD issue, tabled, Cathy will detail this to the BOD, Pat suggests putting it in 2018’s budget.  Cathy will try to get details to BOD before September 28</w:t>
      </w:r>
      <w:r w:rsidR="005E1CF1" w:rsidRPr="005E1CF1">
        <w:rPr>
          <w:color w:val="FF0000"/>
          <w:vertAlign w:val="superscript"/>
        </w:rPr>
        <w:t>th</w:t>
      </w:r>
      <w:r w:rsidR="005E1CF1" w:rsidRPr="005E1CF1">
        <w:rPr>
          <w:color w:val="FF0000"/>
        </w:rPr>
        <w:t>, General Membership Meeting.</w:t>
      </w:r>
    </w:p>
    <w:p w:rsidR="002B248B" w:rsidRDefault="002B248B" w:rsidP="002B248B">
      <w:pPr>
        <w:pStyle w:val="ListParagraph"/>
      </w:pPr>
      <w:r>
        <w:t xml:space="preserve">BOD discussion:  Gretta asks of possibility of updating logo in future.  Cathy to get info to BOD, cost, time etc.  Decision to </w:t>
      </w:r>
      <w:proofErr w:type="spellStart"/>
      <w:r>
        <w:t>defuzz</w:t>
      </w:r>
      <w:proofErr w:type="spellEnd"/>
      <w:r>
        <w:t xml:space="preserve"> logo, ask Jessica Drake about cleaning it up – Cathy thinks there is a clean version, will find it.</w:t>
      </w:r>
    </w:p>
    <w:p w:rsidR="00096376" w:rsidRDefault="002B248B" w:rsidP="002B248B">
      <w:pPr>
        <w:pStyle w:val="ListParagraph"/>
      </w:pPr>
      <w:r>
        <w:t xml:space="preserve">Vote:  BOD votes to renew trademark/wordmark.  </w:t>
      </w:r>
    </w:p>
    <w:p w:rsidR="002B248B" w:rsidRDefault="002B248B" w:rsidP="002B248B">
      <w:pPr>
        <w:pStyle w:val="ListParagraph"/>
      </w:pPr>
      <w:r>
        <w:t xml:space="preserve">Cathy will </w:t>
      </w:r>
      <w:proofErr w:type="gramStart"/>
      <w:r>
        <w:t>look into</w:t>
      </w:r>
      <w:proofErr w:type="gramEnd"/>
      <w:r>
        <w:t xml:space="preserve"> what needs to be done for an ATAA brand</w:t>
      </w:r>
      <w:r w:rsidR="00096376">
        <w:t>, trademark issue, tabled until further info.</w:t>
      </w:r>
    </w:p>
    <w:p w:rsidR="002E2928" w:rsidRPr="002B248B" w:rsidRDefault="002E2928" w:rsidP="002B248B">
      <w:pPr>
        <w:pStyle w:val="ListParagraph"/>
      </w:pPr>
    </w:p>
    <w:p w:rsidR="00033918" w:rsidRDefault="00296611" w:rsidP="00D80CA3">
      <w:pPr>
        <w:pStyle w:val="ListParagraph"/>
        <w:numPr>
          <w:ilvl w:val="0"/>
          <w:numId w:val="1"/>
        </w:numPr>
        <w:spacing w:after="0" w:line="276" w:lineRule="auto"/>
      </w:pPr>
      <w:r>
        <w:t>VIIN</w:t>
      </w:r>
      <w:r w:rsidR="00033918">
        <w:t>K registration</w:t>
      </w:r>
    </w:p>
    <w:p w:rsidR="00033918" w:rsidRDefault="00033918" w:rsidP="00D80CA3">
      <w:pPr>
        <w:pStyle w:val="ListParagraph"/>
        <w:numPr>
          <w:ilvl w:val="0"/>
          <w:numId w:val="2"/>
        </w:numPr>
        <w:spacing w:after="0" w:line="276" w:lineRule="auto"/>
      </w:pPr>
      <w:r>
        <w:t>Current proposal - $140/horse to cover A</w:t>
      </w:r>
      <w:r w:rsidR="00296611">
        <w:t>TAA and VIINK registration</w:t>
      </w:r>
      <w:r w:rsidR="005E1CF1">
        <w:t>;</w:t>
      </w:r>
    </w:p>
    <w:p w:rsidR="00296611" w:rsidRDefault="00296611" w:rsidP="00D80CA3">
      <w:pPr>
        <w:pStyle w:val="ListParagraph"/>
        <w:numPr>
          <w:ilvl w:val="0"/>
          <w:numId w:val="2"/>
        </w:numPr>
        <w:spacing w:after="0" w:line="276" w:lineRule="auto"/>
      </w:pPr>
      <w:bookmarkStart w:id="1" w:name="_Hlk496942807"/>
      <w:r>
        <w:t>How do we handle horses currently registered with ATAA, but not VIINK?</w:t>
      </w:r>
    </w:p>
    <w:p w:rsidR="005E1CF1" w:rsidRDefault="005E1CF1" w:rsidP="005E1CF1">
      <w:pPr>
        <w:pStyle w:val="ListParagraph"/>
      </w:pPr>
    </w:p>
    <w:p w:rsidR="005E1CF1" w:rsidRPr="005E1CF1" w:rsidRDefault="005E1CF1" w:rsidP="005E1CF1">
      <w:pPr>
        <w:pStyle w:val="ListParagraph"/>
        <w:ind w:left="1080" w:firstLine="360"/>
        <w:rPr>
          <w:rFonts w:eastAsia="Times New Roman"/>
          <w:color w:val="FF0000"/>
        </w:rPr>
      </w:pPr>
      <w:r w:rsidRPr="005E1CF1">
        <w:rPr>
          <w:rFonts w:eastAsia="Times New Roman"/>
          <w:b/>
          <w:bCs/>
          <w:color w:val="FF0000"/>
        </w:rPr>
        <w:lastRenderedPageBreak/>
        <w:t>Goal: ATAA- VIINK; follow up with VIINK about “combining” our efforts to register AT horses in North America</w:t>
      </w:r>
      <w:r w:rsidRPr="005E1CF1">
        <w:rPr>
          <w:rFonts w:eastAsia="Times New Roman"/>
          <w:color w:val="FF0000"/>
        </w:rPr>
        <w:t>.</w:t>
      </w:r>
    </w:p>
    <w:p w:rsidR="005E1CF1" w:rsidRPr="005E1CF1" w:rsidRDefault="005E1CF1" w:rsidP="005E1CF1">
      <w:pPr>
        <w:pStyle w:val="ListParagraph"/>
        <w:ind w:left="1080"/>
        <w:rPr>
          <w:rFonts w:eastAsia="Times New Roman"/>
          <w:color w:val="FF0000"/>
        </w:rPr>
      </w:pPr>
      <w:r w:rsidRPr="005E1CF1">
        <w:rPr>
          <w:rFonts w:eastAsia="Times New Roman"/>
          <w:color w:val="FF0000"/>
        </w:rPr>
        <w:t>a.  Idea being that it would be one stop shopping for registering AT horses. registering with both ATAA and VIINK at the same time, through the ATAA.</w:t>
      </w:r>
    </w:p>
    <w:p w:rsidR="005E1CF1" w:rsidRDefault="005E1CF1" w:rsidP="005E1CF1">
      <w:pPr>
        <w:pStyle w:val="ListParagraph"/>
        <w:ind w:left="1080"/>
        <w:rPr>
          <w:rFonts w:eastAsia="Times New Roman"/>
          <w:color w:val="FF0000"/>
        </w:rPr>
      </w:pPr>
      <w:r w:rsidRPr="005E1CF1">
        <w:rPr>
          <w:rStyle w:val="apple-tab-span"/>
          <w:rFonts w:eastAsia="Times New Roman"/>
          <w:color w:val="FF0000"/>
        </w:rPr>
        <w:tab/>
      </w:r>
      <w:r w:rsidRPr="005E1CF1">
        <w:rPr>
          <w:rFonts w:eastAsia="Times New Roman"/>
          <w:color w:val="FF0000"/>
        </w:rPr>
        <w:t>b.  Amrita to follow up on current proposal from VIINK.  The Russian registry would like $100 per registration per horse.  We currently charge $40 to register with the ATAA, which includes DNA testing.  Total registration would be $140.  Why don’t we separate the DNA testing cost from the registration cost, so that the members see that total foal registration is $100 and DNA testing is $40?  Need to think about how to organize that so that it makes sense and flows well. Amrita could you think about this and possible prepare a proposal for the Board to approve?</w:t>
      </w:r>
    </w:p>
    <w:p w:rsidR="00D13E6F" w:rsidRDefault="00096376" w:rsidP="00D13E6F">
      <w:pPr>
        <w:rPr>
          <w:rFonts w:eastAsia="Times New Roman"/>
        </w:rPr>
      </w:pPr>
      <w:r w:rsidRPr="00096376">
        <w:rPr>
          <w:rFonts w:eastAsia="Times New Roman"/>
        </w:rPr>
        <w:t>BOD discussion:</w:t>
      </w:r>
      <w:r>
        <w:rPr>
          <w:rFonts w:eastAsia="Times New Roman"/>
        </w:rPr>
        <w:t xml:space="preserve"> Jas suggests we get serious about working with mother studbook, we need to get N. American horses in it.  Gretta suggests we table this issue for email discussion, Gretta to make spreadsheet of other registries costs, Amrita will check on ATAA/VNIIK costs. Amrita wonders if this will keep people from registering their horses.  </w:t>
      </w:r>
      <w:r w:rsidRPr="00D13E6F">
        <w:rPr>
          <w:rFonts w:eastAsia="Times New Roman"/>
        </w:rPr>
        <w:t xml:space="preserve">Tish suggests </w:t>
      </w:r>
      <w:r w:rsidR="00D13E6F">
        <w:rPr>
          <w:rFonts w:eastAsia="Times New Roman"/>
        </w:rPr>
        <w:t>getting some sponsorships to help register current ATAA horses that aren't registered with VIINK.  Amrita said that we aren't there yet, so we decided to work out how to handle these horses after we have worked out the agreement with VIINK.</w:t>
      </w:r>
      <w:r w:rsidR="00667907">
        <w:rPr>
          <w:rFonts w:eastAsia="Times New Roman"/>
        </w:rPr>
        <w:t xml:space="preserve"> Amrita will ask </w:t>
      </w:r>
      <w:proofErr w:type="spellStart"/>
      <w:r w:rsidR="00667907">
        <w:rPr>
          <w:rFonts w:eastAsia="Times New Roman"/>
        </w:rPr>
        <w:t>Nadezda</w:t>
      </w:r>
      <w:proofErr w:type="spellEnd"/>
      <w:r w:rsidR="00667907">
        <w:rPr>
          <w:rFonts w:eastAsia="Times New Roman"/>
        </w:rPr>
        <w:t xml:space="preserve"> if we can register older horses with VNIIK, will let us know what she says.  Gretta would like a timeframe for results, we will address this later.</w:t>
      </w:r>
    </w:p>
    <w:p w:rsidR="00096376" w:rsidRDefault="00096376" w:rsidP="005E1CF1">
      <w:pPr>
        <w:pStyle w:val="ListParagraph"/>
        <w:ind w:left="1080"/>
        <w:rPr>
          <w:rFonts w:eastAsia="Times New Roman"/>
          <w:b/>
        </w:rPr>
      </w:pPr>
      <w:r w:rsidRPr="00096376">
        <w:rPr>
          <w:rFonts w:eastAsia="Times New Roman"/>
          <w:b/>
        </w:rPr>
        <w:t xml:space="preserve">MOTION: Jas motions to accept VNIIK’s offer of paying $100 per horse to register them with VNIIK.  Amrita seconds.  Passed.  </w:t>
      </w:r>
    </w:p>
    <w:p w:rsidR="002E2928" w:rsidRPr="00096376" w:rsidRDefault="002E2928" w:rsidP="005E1CF1">
      <w:pPr>
        <w:pStyle w:val="ListParagraph"/>
        <w:ind w:left="1080"/>
        <w:rPr>
          <w:rFonts w:eastAsia="Times New Roman"/>
          <w:b/>
          <w:color w:val="FF0000"/>
        </w:rPr>
      </w:pPr>
    </w:p>
    <w:bookmarkEnd w:id="1"/>
    <w:p w:rsidR="00033918" w:rsidRDefault="00033918" w:rsidP="00D80CA3">
      <w:pPr>
        <w:pStyle w:val="ListParagraph"/>
        <w:numPr>
          <w:ilvl w:val="0"/>
          <w:numId w:val="1"/>
        </w:numPr>
        <w:spacing w:after="0" w:line="276" w:lineRule="auto"/>
      </w:pPr>
      <w:r>
        <w:t>Grading</w:t>
      </w:r>
    </w:p>
    <w:p w:rsidR="00033918" w:rsidRDefault="00033918" w:rsidP="00D80CA3">
      <w:pPr>
        <w:pStyle w:val="ListParagraph"/>
        <w:numPr>
          <w:ilvl w:val="0"/>
          <w:numId w:val="3"/>
        </w:numPr>
        <w:spacing w:after="0" w:line="276" w:lineRule="auto"/>
      </w:pPr>
      <w:r>
        <w:t>New committee?</w:t>
      </w:r>
    </w:p>
    <w:p w:rsidR="00033918" w:rsidRDefault="00033918" w:rsidP="00D80CA3">
      <w:pPr>
        <w:pStyle w:val="ListParagraph"/>
        <w:numPr>
          <w:ilvl w:val="0"/>
          <w:numId w:val="3"/>
        </w:numPr>
        <w:spacing w:after="0" w:line="276" w:lineRule="auto"/>
      </w:pPr>
      <w:r>
        <w:t>Status of contact with Molly?</w:t>
      </w:r>
    </w:p>
    <w:p w:rsidR="00033918" w:rsidRDefault="00033918" w:rsidP="00D80CA3">
      <w:pPr>
        <w:pStyle w:val="ListParagraph"/>
        <w:numPr>
          <w:ilvl w:val="0"/>
          <w:numId w:val="3"/>
        </w:numPr>
        <w:spacing w:after="0" w:line="276" w:lineRule="auto"/>
      </w:pPr>
      <w:r>
        <w:t>Other ideas/options?</w:t>
      </w:r>
    </w:p>
    <w:p w:rsidR="005E1CF1" w:rsidRPr="00030E9A" w:rsidRDefault="005E1CF1" w:rsidP="005E1CF1">
      <w:pPr>
        <w:pStyle w:val="ListParagraph"/>
        <w:ind w:left="1080"/>
        <w:rPr>
          <w:rFonts w:eastAsia="Times New Roman"/>
          <w:color w:val="FF0000"/>
        </w:rPr>
      </w:pPr>
      <w:r w:rsidRPr="00030E9A">
        <w:rPr>
          <w:rFonts w:eastAsia="Times New Roman"/>
          <w:color w:val="FF0000"/>
        </w:rPr>
        <w:t xml:space="preserve">3. </w:t>
      </w:r>
      <w:r w:rsidRPr="00030E9A">
        <w:rPr>
          <w:rFonts w:eastAsia="Times New Roman"/>
          <w:b/>
          <w:bCs/>
          <w:color w:val="FF0000"/>
        </w:rPr>
        <w:t> Goal:  Initiate and develop a plan to move forward with Akhal Teke grading</w:t>
      </w:r>
    </w:p>
    <w:p w:rsidR="005E1CF1" w:rsidRPr="00030E9A" w:rsidRDefault="005E1CF1" w:rsidP="00030E9A">
      <w:pPr>
        <w:pStyle w:val="ListParagraph"/>
        <w:ind w:left="1080"/>
        <w:rPr>
          <w:rFonts w:eastAsia="Times New Roman"/>
          <w:color w:val="FF0000"/>
        </w:rPr>
      </w:pPr>
      <w:r w:rsidRPr="00030E9A">
        <w:rPr>
          <w:rStyle w:val="apple-tab-span"/>
          <w:rFonts w:eastAsia="Times New Roman"/>
          <w:color w:val="FF0000"/>
        </w:rPr>
        <w:tab/>
      </w:r>
      <w:r w:rsidRPr="00030E9A">
        <w:rPr>
          <w:rFonts w:eastAsia="Times New Roman"/>
          <w:color w:val="FF0000"/>
        </w:rPr>
        <w:t>Cathy agreed to review Grading notes from 2016 ATAA Conference and the discussion with Molly Nicodemus.</w:t>
      </w:r>
    </w:p>
    <w:p w:rsidR="005E1CF1" w:rsidRDefault="005E1CF1" w:rsidP="00096376">
      <w:pPr>
        <w:pStyle w:val="ListParagraph"/>
        <w:numPr>
          <w:ilvl w:val="1"/>
          <w:numId w:val="1"/>
        </w:numPr>
        <w:rPr>
          <w:rFonts w:eastAsia="Times New Roman"/>
          <w:color w:val="FF0000"/>
        </w:rPr>
      </w:pPr>
      <w:r w:rsidRPr="00030E9A">
        <w:rPr>
          <w:rFonts w:eastAsia="Times New Roman"/>
          <w:color w:val="FF0000"/>
        </w:rPr>
        <w:t xml:space="preserve">Cathy approach Molly about developing a road map (including a time line) and plan on how to move forward with a robust grading of the Akhal Teke horses in North America.  The idea being that we would like a committee that is or guided by an outside advisory council headed up by possibly Molly.  We need to think about our approach to Molly, so that this is not an overwhelming task and has a long enough implementation time frame to work with her schedule.  Cathy agreed to talk to Molly </w:t>
      </w:r>
      <w:proofErr w:type="gramStart"/>
      <w:r w:rsidRPr="00030E9A">
        <w:rPr>
          <w:rFonts w:eastAsia="Times New Roman"/>
          <w:color w:val="FF0000"/>
        </w:rPr>
        <w:t>and also</w:t>
      </w:r>
      <w:proofErr w:type="gramEnd"/>
      <w:r w:rsidRPr="00030E9A">
        <w:rPr>
          <w:rFonts w:eastAsia="Times New Roman"/>
          <w:color w:val="FF0000"/>
        </w:rPr>
        <w:t xml:space="preserve"> explore what it might cost to have her do this kind of work for the ATAA.  We would then have a budget for this project that would need to be approved by the ATAA Board.</w:t>
      </w:r>
    </w:p>
    <w:p w:rsidR="00096376" w:rsidRPr="00096376" w:rsidRDefault="00096376" w:rsidP="00096376">
      <w:pPr>
        <w:pStyle w:val="ListParagraph"/>
        <w:ind w:left="1440"/>
        <w:rPr>
          <w:rFonts w:eastAsia="Times New Roman"/>
        </w:rPr>
      </w:pPr>
      <w:r>
        <w:rPr>
          <w:rFonts w:eastAsia="Times New Roman"/>
        </w:rPr>
        <w:t xml:space="preserve">BOD discussion: Cathy will send Grading Roundtable notes to BOD members.  Gretta talked to GOV (Hanoverians?), talked to Sebastian </w:t>
      </w:r>
      <w:proofErr w:type="spellStart"/>
      <w:r>
        <w:rPr>
          <w:rFonts w:eastAsia="Times New Roman"/>
        </w:rPr>
        <w:t>Rhonde</w:t>
      </w:r>
      <w:proofErr w:type="spellEnd"/>
      <w:r>
        <w:rPr>
          <w:rFonts w:eastAsia="Times New Roman"/>
        </w:rPr>
        <w:t xml:space="preserve">, who is willing to talk to us about setting up grading.  Pat asks for timeline.  Gretta suggests contacting </w:t>
      </w:r>
      <w:proofErr w:type="spellStart"/>
      <w:r>
        <w:rPr>
          <w:rFonts w:eastAsia="Times New Roman"/>
        </w:rPr>
        <w:t>Knapstrupper</w:t>
      </w:r>
      <w:proofErr w:type="spellEnd"/>
      <w:r>
        <w:rPr>
          <w:rFonts w:eastAsia="Times New Roman"/>
        </w:rPr>
        <w:t xml:space="preserve"> registry, as they accept ATs in their horses.  Tabled until further information.</w:t>
      </w:r>
    </w:p>
    <w:p w:rsidR="00D80CA3" w:rsidRDefault="00D80CA3" w:rsidP="00D80CA3">
      <w:pPr>
        <w:pStyle w:val="ListParagraph"/>
        <w:spacing w:after="0" w:line="276" w:lineRule="auto"/>
        <w:ind w:left="1080"/>
      </w:pPr>
    </w:p>
    <w:p w:rsidR="00033918" w:rsidRDefault="00033918" w:rsidP="00D80CA3">
      <w:pPr>
        <w:pStyle w:val="ListParagraph"/>
        <w:numPr>
          <w:ilvl w:val="0"/>
          <w:numId w:val="1"/>
        </w:numPr>
        <w:spacing w:after="0" w:line="276" w:lineRule="auto"/>
      </w:pPr>
      <w:r>
        <w:lastRenderedPageBreak/>
        <w:t>WEG 2018</w:t>
      </w:r>
    </w:p>
    <w:p w:rsidR="00033918" w:rsidRDefault="004D75B6" w:rsidP="00D80CA3">
      <w:pPr>
        <w:pStyle w:val="ListParagraph"/>
        <w:numPr>
          <w:ilvl w:val="0"/>
          <w:numId w:val="4"/>
        </w:numPr>
        <w:spacing w:after="0" w:line="276" w:lineRule="auto"/>
      </w:pPr>
      <w:r>
        <w:t>Status of Turkm</w:t>
      </w:r>
      <w:r w:rsidR="00D13E6F">
        <w:t>e</w:t>
      </w:r>
      <w:r>
        <w:t>n</w:t>
      </w:r>
      <w:r w:rsidR="00033918">
        <w:t>istan Circus participation</w:t>
      </w:r>
    </w:p>
    <w:p w:rsidR="00033918" w:rsidRDefault="00033918" w:rsidP="00D80CA3">
      <w:pPr>
        <w:pStyle w:val="ListParagraph"/>
        <w:numPr>
          <w:ilvl w:val="0"/>
          <w:numId w:val="4"/>
        </w:numPr>
        <w:spacing w:after="0" w:line="276" w:lineRule="auto"/>
      </w:pPr>
      <w:r>
        <w:t>Need Co-chair</w:t>
      </w:r>
      <w:r w:rsidR="00D13E6F">
        <w:t>.  Cathy will ask Caroline if she can co-chair</w:t>
      </w:r>
    </w:p>
    <w:p w:rsidR="00033918" w:rsidRDefault="00033918" w:rsidP="00D80CA3">
      <w:pPr>
        <w:pStyle w:val="ListParagraph"/>
        <w:numPr>
          <w:ilvl w:val="0"/>
          <w:numId w:val="4"/>
        </w:numPr>
        <w:spacing w:after="0" w:line="276" w:lineRule="auto"/>
      </w:pPr>
      <w:r>
        <w:t>Budget</w:t>
      </w:r>
    </w:p>
    <w:p w:rsidR="00030E9A" w:rsidRPr="00030E9A" w:rsidRDefault="00030E9A" w:rsidP="00030E9A">
      <w:pPr>
        <w:pStyle w:val="ListParagraph"/>
        <w:ind w:left="1080"/>
        <w:rPr>
          <w:color w:val="FF0000"/>
        </w:rPr>
      </w:pPr>
      <w:r w:rsidRPr="00030E9A">
        <w:rPr>
          <w:color w:val="FF0000"/>
        </w:rPr>
        <w:t>WEG 2018 – in Tryon, NC, September 10-23, 2018.  ATAA booth?  VOLUNTEERS needed.  Cathy will find 2010 WEG stuff, approximate costs, etc.  Committee to work on it?</w:t>
      </w:r>
    </w:p>
    <w:p w:rsidR="00030E9A" w:rsidRPr="00030E9A" w:rsidRDefault="00030E9A" w:rsidP="00030E9A">
      <w:pPr>
        <w:pStyle w:val="ListParagraph"/>
        <w:ind w:left="1080"/>
        <w:rPr>
          <w:b/>
          <w:color w:val="FF0000"/>
        </w:rPr>
      </w:pPr>
      <w:r w:rsidRPr="00030E9A">
        <w:rPr>
          <w:b/>
          <w:color w:val="FF0000"/>
        </w:rPr>
        <w:t xml:space="preserve">MOTION:  Amrita motions that the ATAA </w:t>
      </w:r>
      <w:r w:rsidR="00D13E6F">
        <w:rPr>
          <w:b/>
          <w:color w:val="FF0000"/>
        </w:rPr>
        <w:t xml:space="preserve">investigate </w:t>
      </w:r>
      <w:r w:rsidRPr="00030E9A">
        <w:rPr>
          <w:b/>
          <w:color w:val="FF0000"/>
        </w:rPr>
        <w:t>hav</w:t>
      </w:r>
      <w:r w:rsidR="00D13E6F">
        <w:rPr>
          <w:b/>
          <w:color w:val="FF0000"/>
        </w:rPr>
        <w:t>ing</w:t>
      </w:r>
      <w:r w:rsidRPr="00030E9A">
        <w:rPr>
          <w:b/>
          <w:color w:val="FF0000"/>
        </w:rPr>
        <w:t xml:space="preserve"> a booth at the World Equestrian Games in 2018</w:t>
      </w:r>
      <w:r w:rsidR="00D13E6F">
        <w:rPr>
          <w:b/>
          <w:color w:val="FF0000"/>
        </w:rPr>
        <w:t>, depending on price</w:t>
      </w:r>
      <w:r w:rsidRPr="00030E9A">
        <w:rPr>
          <w:b/>
          <w:color w:val="FF0000"/>
        </w:rPr>
        <w:t xml:space="preserve">.  Trisha seconds. Approved.  </w:t>
      </w:r>
    </w:p>
    <w:p w:rsidR="00030E9A" w:rsidRDefault="00030E9A" w:rsidP="00030E9A">
      <w:pPr>
        <w:pStyle w:val="ListParagraph"/>
        <w:ind w:left="1080"/>
        <w:rPr>
          <w:color w:val="FF0000"/>
        </w:rPr>
      </w:pPr>
      <w:r w:rsidRPr="00030E9A">
        <w:rPr>
          <w:color w:val="FF0000"/>
        </w:rPr>
        <w:t xml:space="preserve">We will need a committee, budget, etc.  Discussion of having some sort of Teke demo at the Games.  Possibility of asking the Turkmen trick riders (djigits) that travel come and demo.  They were invited in 2010, but couldn’t get stuff done in time.  Or, have some of our riders there doing demos.  Sabine and Katrina were both ok with this.  </w:t>
      </w:r>
    </w:p>
    <w:p w:rsidR="002E2928" w:rsidRPr="002E2928" w:rsidRDefault="002E2928" w:rsidP="00030E9A">
      <w:pPr>
        <w:pStyle w:val="ListParagraph"/>
        <w:ind w:left="1080"/>
      </w:pPr>
      <w:r>
        <w:t>BOD discussion: ATAA booth will be dependent on price and fundraising.  First item: Budget. Amrita has contacted Turkmen Djigits to see if they can come.  No answer yet.</w:t>
      </w:r>
    </w:p>
    <w:p w:rsidR="00D80CA3" w:rsidRPr="00030E9A" w:rsidRDefault="00D80CA3" w:rsidP="00D80CA3">
      <w:pPr>
        <w:pStyle w:val="ListParagraph"/>
        <w:spacing w:after="0" w:line="276" w:lineRule="auto"/>
        <w:ind w:left="1080"/>
        <w:rPr>
          <w:color w:val="FF0000"/>
        </w:rPr>
      </w:pPr>
    </w:p>
    <w:p w:rsidR="00033918" w:rsidRDefault="00033918" w:rsidP="00D80CA3">
      <w:pPr>
        <w:pStyle w:val="ListParagraph"/>
        <w:numPr>
          <w:ilvl w:val="0"/>
          <w:numId w:val="1"/>
        </w:numPr>
        <w:spacing w:after="0" w:line="276" w:lineRule="auto"/>
      </w:pPr>
      <w:r>
        <w:t>Semen Bank</w:t>
      </w:r>
    </w:p>
    <w:p w:rsidR="00033918" w:rsidRDefault="006D522E" w:rsidP="00D80CA3">
      <w:pPr>
        <w:pStyle w:val="ListParagraph"/>
        <w:numPr>
          <w:ilvl w:val="0"/>
          <w:numId w:val="5"/>
        </w:numPr>
        <w:spacing w:after="0" w:line="276" w:lineRule="auto"/>
      </w:pPr>
      <w:r>
        <w:t>Proposal</w:t>
      </w:r>
      <w:r w:rsidR="00D13E6F">
        <w:t>- Pat spoke about how to preserve genetics for long-term.  She has been in contact with Swiss Valley Farms, have a multi-layered bank, with semen and potentially embryos.  Smithsonian bank in Ft. Collins, CO.  Both private and USDA public/gov.  Will do up proposal which will include adding to database of each horse.  Pat is the ATAA representative going to the February ALBC seminar at U of Texas.</w:t>
      </w:r>
    </w:p>
    <w:p w:rsidR="00D13E6F" w:rsidRDefault="00D13E6F" w:rsidP="00D80CA3">
      <w:pPr>
        <w:pStyle w:val="ListParagraph"/>
        <w:numPr>
          <w:ilvl w:val="0"/>
          <w:numId w:val="5"/>
        </w:numPr>
        <w:spacing w:after="0" w:line="276" w:lineRule="auto"/>
      </w:pPr>
      <w:r>
        <w:t>Stallions in remote areas, could have a travelling collector? Benefit for private owners.  How to pay for it?  Very expensive.  Pat talked about the peer reviewed paper that shows the AT is very important genetically.</w:t>
      </w:r>
      <w:r w:rsidR="00E75310">
        <w:t xml:space="preserve">  Pat will send paper to BOD for review.</w:t>
      </w:r>
    </w:p>
    <w:p w:rsidR="00D13E6F" w:rsidRPr="00D13E6F" w:rsidRDefault="00D13E6F" w:rsidP="00D13E6F">
      <w:pPr>
        <w:pStyle w:val="ListParagraph"/>
        <w:spacing w:after="0" w:line="276" w:lineRule="auto"/>
        <w:ind w:left="1080"/>
        <w:rPr>
          <w:b/>
        </w:rPr>
      </w:pPr>
      <w:r w:rsidRPr="00D13E6F">
        <w:rPr>
          <w:b/>
        </w:rPr>
        <w:t>Motion: Cathy motions that Pat heads this effort and we will discuss further w/BOD approval.  Amrita seconds.  Passed.</w:t>
      </w:r>
    </w:p>
    <w:p w:rsidR="00D80CA3" w:rsidRDefault="00D80CA3" w:rsidP="00D80CA3">
      <w:pPr>
        <w:pStyle w:val="ListParagraph"/>
        <w:spacing w:after="0" w:line="276" w:lineRule="auto"/>
        <w:ind w:left="1080"/>
      </w:pPr>
    </w:p>
    <w:p w:rsidR="00B31DCA" w:rsidRDefault="00B31DCA" w:rsidP="00D80CA3">
      <w:pPr>
        <w:pStyle w:val="ListParagraph"/>
        <w:numPr>
          <w:ilvl w:val="0"/>
          <w:numId w:val="1"/>
        </w:numPr>
        <w:spacing w:after="0" w:line="276" w:lineRule="auto"/>
      </w:pPr>
      <w:r>
        <w:t>Stallion Catalog Proposal</w:t>
      </w:r>
    </w:p>
    <w:p w:rsidR="00296611" w:rsidRDefault="006D522E" w:rsidP="00D80CA3">
      <w:pPr>
        <w:pStyle w:val="ListParagraph"/>
        <w:numPr>
          <w:ilvl w:val="0"/>
          <w:numId w:val="6"/>
        </w:numPr>
        <w:spacing w:after="0" w:line="276" w:lineRule="auto"/>
      </w:pPr>
      <w:r>
        <w:t>Revised Proposal to be circulated prior to meeting</w:t>
      </w:r>
      <w:r w:rsidR="00667907">
        <w:t xml:space="preserve">- Gretta will be chair of this.  ATAA stallion reference book, different from one done by Shirley Schulz.  Cindy thinks this is </w:t>
      </w:r>
      <w:proofErr w:type="gramStart"/>
      <w:r w:rsidR="00667907">
        <w:t>a good idea</w:t>
      </w:r>
      <w:proofErr w:type="gramEnd"/>
      <w:r w:rsidR="00667907">
        <w:t xml:space="preserve">, discussion of allowing crossbreds (sporthorses) into reference book.  Cindy suggests putting them in a separate category, Gretta agrees.  We need to think about being professional for WEG.  Age limit on photos (no </w:t>
      </w:r>
      <w:proofErr w:type="gramStart"/>
      <w:r w:rsidR="00667907">
        <w:t>10 year old</w:t>
      </w:r>
      <w:proofErr w:type="gramEnd"/>
      <w:r w:rsidR="00667907">
        <w:t xml:space="preserve"> photos?)  Tish suggests leeway this year for photos.  We will discuss sporthorses if it comes up.  Discussion of how to list stallions:  region, type of semen available?  Decided on region.</w:t>
      </w:r>
    </w:p>
    <w:p w:rsidR="00D80CA3" w:rsidRDefault="00D80CA3" w:rsidP="00D80CA3">
      <w:pPr>
        <w:pStyle w:val="ListParagraph"/>
        <w:spacing w:after="0" w:line="276" w:lineRule="auto"/>
        <w:ind w:left="1080"/>
      </w:pPr>
    </w:p>
    <w:p w:rsidR="00296611" w:rsidRDefault="00296611" w:rsidP="00D80CA3">
      <w:pPr>
        <w:pStyle w:val="ListParagraph"/>
        <w:numPr>
          <w:ilvl w:val="0"/>
          <w:numId w:val="1"/>
        </w:numPr>
        <w:spacing w:after="0" w:line="276" w:lineRule="auto"/>
      </w:pPr>
      <w:r>
        <w:t>AT Database</w:t>
      </w:r>
    </w:p>
    <w:p w:rsidR="00030E9A" w:rsidRDefault="00030E9A" w:rsidP="00030E9A">
      <w:pPr>
        <w:pStyle w:val="ListParagraph"/>
        <w:rPr>
          <w:rFonts w:eastAsia="Times New Roman"/>
          <w:color w:val="FF0000"/>
        </w:rPr>
      </w:pPr>
      <w:r w:rsidRPr="00030E9A">
        <w:rPr>
          <w:rFonts w:eastAsia="Times New Roman"/>
          <w:color w:val="FF0000"/>
        </w:rPr>
        <w:t xml:space="preserve">  Pat to explore the data base that Milena had originally worked with developing.  The idea being that Pat would seek out the owner of this database/website to see if they would donate it to the ATAA, as well as the ability for out to edit it.  We would like full control of this web site, and then we would update it if it made sense for us to do so.</w:t>
      </w:r>
    </w:p>
    <w:p w:rsidR="00667907" w:rsidRPr="00667907" w:rsidRDefault="00667907" w:rsidP="00030E9A">
      <w:pPr>
        <w:pStyle w:val="ListParagraph"/>
        <w:rPr>
          <w:rFonts w:eastAsia="Times New Roman"/>
        </w:rPr>
      </w:pPr>
      <w:r>
        <w:rPr>
          <w:rFonts w:eastAsia="Times New Roman"/>
        </w:rPr>
        <w:lastRenderedPageBreak/>
        <w:t>Pat will send link of paper citing ATs to BOD.</w:t>
      </w:r>
      <w:r w:rsidR="002E2928">
        <w:rPr>
          <w:rFonts w:eastAsia="Times New Roman"/>
        </w:rPr>
        <w:t xml:space="preserve">  Pat will see about possibility of using Milena’s database for our online searchable registry information.  If not, we will see what we can do with what we have.</w:t>
      </w:r>
    </w:p>
    <w:p w:rsidR="00D80CA3" w:rsidRDefault="00D80CA3" w:rsidP="00D80CA3">
      <w:pPr>
        <w:pStyle w:val="ListParagraph"/>
        <w:spacing w:after="0" w:line="276" w:lineRule="auto"/>
      </w:pPr>
    </w:p>
    <w:p w:rsidR="00296611" w:rsidRDefault="00296611" w:rsidP="00D80CA3">
      <w:pPr>
        <w:pStyle w:val="ListParagraph"/>
        <w:numPr>
          <w:ilvl w:val="0"/>
          <w:numId w:val="1"/>
        </w:numPr>
        <w:spacing w:after="0" w:line="276" w:lineRule="auto"/>
      </w:pPr>
      <w:r>
        <w:t>Horse of the Year Award for 2018</w:t>
      </w:r>
    </w:p>
    <w:p w:rsidR="00030E9A" w:rsidRDefault="00030E9A" w:rsidP="00030E9A">
      <w:pPr>
        <w:ind w:left="360"/>
        <w:rPr>
          <w:color w:val="FF0000"/>
        </w:rPr>
      </w:pPr>
      <w:r>
        <w:tab/>
      </w:r>
      <w:r w:rsidRPr="00030E9A">
        <w:rPr>
          <w:color w:val="FF0000"/>
        </w:rPr>
        <w:t>ATAA Awards- Incentive Awards doing well, trying new ATAA Awards this year, more volunteer awards?  Betsy is happy to continue doing ATAA Awards, but wouldn’t mind help.  Discuss different volunteer awards. Online survey to see what members want.</w:t>
      </w:r>
    </w:p>
    <w:p w:rsidR="002E2928" w:rsidRDefault="002E2928" w:rsidP="00030E9A">
      <w:pPr>
        <w:ind w:left="360"/>
      </w:pPr>
      <w:r w:rsidRPr="002E2928">
        <w:t>Cathy</w:t>
      </w:r>
      <w:r>
        <w:t xml:space="preserve"> will ask Caroline Dudkowski if she would be willing to do up a survey to see what ATAA members really want in awards.</w:t>
      </w:r>
    </w:p>
    <w:p w:rsidR="002E2928" w:rsidRPr="002E2928" w:rsidRDefault="002E2928" w:rsidP="00030E9A">
      <w:pPr>
        <w:ind w:left="360"/>
        <w:rPr>
          <w:b/>
        </w:rPr>
      </w:pPr>
      <w:bookmarkStart w:id="2" w:name="_GoBack"/>
      <w:bookmarkEnd w:id="2"/>
      <w:r w:rsidRPr="002E2928">
        <w:rPr>
          <w:b/>
        </w:rPr>
        <w:t>MOTION:  Cathy motions to adjourn at 7:29. Cindy seconds.  Approved.</w:t>
      </w:r>
    </w:p>
    <w:p w:rsidR="002E2928" w:rsidRPr="002E2928" w:rsidRDefault="002E2928" w:rsidP="00030E9A">
      <w:pPr>
        <w:ind w:left="360"/>
      </w:pPr>
    </w:p>
    <w:p w:rsidR="00030E9A" w:rsidRPr="00030E9A" w:rsidRDefault="00030E9A" w:rsidP="00030E9A">
      <w:pPr>
        <w:spacing w:after="0" w:line="276" w:lineRule="auto"/>
        <w:rPr>
          <w:color w:val="FF0000"/>
        </w:rPr>
      </w:pPr>
    </w:p>
    <w:sectPr w:rsidR="00030E9A" w:rsidRPr="00030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783"/>
    <w:multiLevelType w:val="hybridMultilevel"/>
    <w:tmpl w:val="49C0ABFE"/>
    <w:lvl w:ilvl="0" w:tplc="77B03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771B01"/>
    <w:multiLevelType w:val="hybridMultilevel"/>
    <w:tmpl w:val="5388108C"/>
    <w:lvl w:ilvl="0" w:tplc="0EA40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BC2888"/>
    <w:multiLevelType w:val="hybridMultilevel"/>
    <w:tmpl w:val="D4B83368"/>
    <w:lvl w:ilvl="0" w:tplc="83548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EE22B3"/>
    <w:multiLevelType w:val="hybridMultilevel"/>
    <w:tmpl w:val="8B944F2E"/>
    <w:lvl w:ilvl="0" w:tplc="945ACE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DD6895"/>
    <w:multiLevelType w:val="hybridMultilevel"/>
    <w:tmpl w:val="9D7C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1875AD"/>
    <w:multiLevelType w:val="hybridMultilevel"/>
    <w:tmpl w:val="820CA33C"/>
    <w:lvl w:ilvl="0" w:tplc="6A2A2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A236A3"/>
    <w:multiLevelType w:val="hybridMultilevel"/>
    <w:tmpl w:val="32FA2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CA"/>
    <w:rsid w:val="0000157E"/>
    <w:rsid w:val="00030E9A"/>
    <w:rsid w:val="00033918"/>
    <w:rsid w:val="00096376"/>
    <w:rsid w:val="00296611"/>
    <w:rsid w:val="002B248B"/>
    <w:rsid w:val="002E2928"/>
    <w:rsid w:val="003E5F8A"/>
    <w:rsid w:val="004D75B6"/>
    <w:rsid w:val="004D7EDD"/>
    <w:rsid w:val="005E1CF1"/>
    <w:rsid w:val="00667907"/>
    <w:rsid w:val="006D522E"/>
    <w:rsid w:val="00B31DCA"/>
    <w:rsid w:val="00D13E6F"/>
    <w:rsid w:val="00D80CA3"/>
    <w:rsid w:val="00E75310"/>
    <w:rsid w:val="00EB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2593"/>
  <w15:chartTrackingRefBased/>
  <w15:docId w15:val="{792BEE82-0325-4859-BCE1-FB49A54E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CA3"/>
    <w:pPr>
      <w:ind w:left="720"/>
      <w:contextualSpacing/>
    </w:pPr>
  </w:style>
  <w:style w:type="character" w:customStyle="1" w:styleId="apple-tab-span">
    <w:name w:val="apple-tab-span"/>
    <w:basedOn w:val="DefaultParagraphFont"/>
    <w:rsid w:val="005E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Western Area Power Administration</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Saare, LaTisha</dc:creator>
  <cp:keywords/>
  <dc:description/>
  <cp:lastModifiedBy>Cathy Leddy</cp:lastModifiedBy>
  <cp:revision>4</cp:revision>
  <dcterms:created xsi:type="dcterms:W3CDTF">2017-10-28T23:23:00Z</dcterms:created>
  <dcterms:modified xsi:type="dcterms:W3CDTF">2017-10-31T15:07:00Z</dcterms:modified>
</cp:coreProperties>
</file>